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宋体" w:cs="黑体"/>
          <w:sz w:val="28"/>
          <w:szCs w:val="28"/>
          <w:shd w:val="clear" w:color="auto" w:fill="FFFFFF"/>
        </w:rPr>
      </w:pPr>
      <w:r>
        <w:rPr>
          <w:rFonts w:hint="eastAsia" w:ascii="宋体" w:hAnsi="宋体" w:eastAsia="宋体" w:cs="黑体"/>
          <w:sz w:val="28"/>
          <w:szCs w:val="28"/>
          <w:shd w:val="clear" w:color="auto" w:fill="FFFFFF"/>
        </w:rPr>
        <w:t>附件一</w:t>
      </w:r>
    </w:p>
    <w:p>
      <w:pPr>
        <w:spacing w:line="360" w:lineRule="auto"/>
        <w:rPr>
          <w:rFonts w:ascii="宋体" w:hAnsi="宋体" w:eastAsia="宋体" w:cs="黑体"/>
          <w:sz w:val="28"/>
          <w:szCs w:val="28"/>
          <w:shd w:val="clear" w:color="auto" w:fill="FFFFFF"/>
        </w:rPr>
      </w:pPr>
    </w:p>
    <w:p>
      <w:pPr>
        <w:spacing w:line="360" w:lineRule="auto"/>
        <w:contextualSpacing/>
        <w:jc w:val="center"/>
        <w:rPr>
          <w:rFonts w:ascii="宋体" w:hAnsi="宋体" w:eastAsia="宋体" w:cs="楷体_GB2312"/>
          <w:b/>
          <w:bCs/>
          <w:sz w:val="32"/>
          <w:szCs w:val="32"/>
        </w:rPr>
      </w:pPr>
      <w:r>
        <w:rPr>
          <w:rFonts w:hint="eastAsia" w:ascii="宋体" w:hAnsi="宋体" w:eastAsia="宋体" w:cs="楷体_GB2312"/>
          <w:b/>
          <w:bCs/>
          <w:sz w:val="32"/>
          <w:szCs w:val="32"/>
        </w:rPr>
        <w:t>全国高等职业学校校长联席会议双创教育专委会</w:t>
      </w:r>
    </w:p>
    <w:p>
      <w:pPr>
        <w:spacing w:line="360" w:lineRule="auto"/>
        <w:contextualSpacing/>
        <w:jc w:val="center"/>
        <w:rPr>
          <w:rFonts w:ascii="宋体" w:hAnsi="宋体" w:eastAsia="宋体" w:cs="楷体_GB2312"/>
          <w:b/>
          <w:bCs/>
          <w:sz w:val="32"/>
          <w:szCs w:val="32"/>
        </w:rPr>
      </w:pPr>
      <w:r>
        <w:rPr>
          <w:rFonts w:hint="eastAsia" w:ascii="宋体" w:hAnsi="宋体" w:eastAsia="宋体" w:cs="楷体_GB2312"/>
          <w:b/>
          <w:bCs/>
          <w:sz w:val="32"/>
          <w:szCs w:val="32"/>
        </w:rPr>
        <w:t>专创融合“金课”与专创融合“金师”团队立项建设说明</w:t>
      </w:r>
    </w:p>
    <w:p>
      <w:pPr>
        <w:pStyle w:val="2"/>
        <w:snapToGrid/>
        <w:spacing w:line="360" w:lineRule="auto"/>
        <w:ind w:left="-210" w:leftChars="-100" w:right="-210" w:rightChars="-100" w:firstLine="510" w:firstLineChars="200"/>
        <w:contextualSpacing/>
        <w:jc w:val="both"/>
        <w:rPr>
          <w:rFonts w:ascii="宋体" w:hAnsi="宋体" w:eastAsia="宋体" w:cs="宋体"/>
          <w:b/>
          <w:bCs/>
          <w:color w:val="auto"/>
          <w:spacing w:val="7"/>
          <w:sz w:val="24"/>
          <w:szCs w:val="24"/>
          <w:lang w:eastAsia="zh-CN"/>
        </w:rPr>
      </w:pPr>
    </w:p>
    <w:p>
      <w:pPr>
        <w:pStyle w:val="2"/>
        <w:snapToGrid/>
        <w:spacing w:line="360" w:lineRule="auto"/>
        <w:ind w:left="-210" w:leftChars="-100" w:right="-210" w:rightChars="-100" w:firstLine="510" w:firstLineChars="200"/>
        <w:contextualSpacing/>
        <w:jc w:val="both"/>
        <w:rPr>
          <w:rFonts w:ascii="宋体" w:hAnsi="宋体" w:eastAsia="宋体" w:cs="宋体"/>
          <w:color w:val="auto"/>
          <w:sz w:val="24"/>
          <w:szCs w:val="24"/>
          <w:lang w:eastAsia="zh-CN"/>
        </w:rPr>
      </w:pPr>
      <w:r>
        <w:rPr>
          <w:rFonts w:hint="eastAsia" w:ascii="宋体" w:hAnsi="宋体" w:eastAsia="宋体" w:cs="宋体"/>
          <w:b/>
          <w:bCs/>
          <w:color w:val="auto"/>
          <w:spacing w:val="7"/>
          <w:sz w:val="24"/>
          <w:szCs w:val="24"/>
          <w:lang w:eastAsia="zh-CN"/>
        </w:rPr>
        <w:t>一、申报条件</w:t>
      </w:r>
    </w:p>
    <w:p>
      <w:pPr>
        <w:pStyle w:val="2"/>
        <w:snapToGrid/>
        <w:spacing w:line="360" w:lineRule="auto"/>
        <w:ind w:left="-210" w:leftChars="-100" w:right="-210" w:rightChars="-100" w:firstLine="516" w:firstLineChars="200"/>
        <w:contextualSpacing/>
        <w:jc w:val="both"/>
        <w:rPr>
          <w:rFonts w:ascii="宋体" w:hAnsi="宋体" w:eastAsia="宋体" w:cs="宋体"/>
          <w:color w:val="auto"/>
          <w:spacing w:val="-3"/>
          <w:sz w:val="24"/>
          <w:szCs w:val="24"/>
          <w:lang w:eastAsia="zh-CN"/>
        </w:rPr>
      </w:pPr>
      <w:r>
        <w:rPr>
          <w:rFonts w:hint="eastAsia" w:ascii="宋体" w:hAnsi="宋体" w:eastAsia="宋体" w:cs="宋体"/>
          <w:color w:val="auto"/>
          <w:spacing w:val="9"/>
          <w:sz w:val="24"/>
          <w:szCs w:val="24"/>
          <w:lang w:eastAsia="zh-CN"/>
        </w:rPr>
        <w:t>申报课程要以习近平新时代中国特色社会主义思想为指</w:t>
      </w:r>
      <w:r>
        <w:rPr>
          <w:rFonts w:hint="eastAsia" w:ascii="宋体" w:hAnsi="宋体" w:eastAsia="宋体" w:cs="宋体"/>
          <w:color w:val="auto"/>
          <w:spacing w:val="8"/>
          <w:sz w:val="24"/>
          <w:szCs w:val="24"/>
          <w:lang w:eastAsia="zh-CN"/>
        </w:rPr>
        <w:t>导，</w:t>
      </w:r>
      <w:r>
        <w:rPr>
          <w:rFonts w:hint="eastAsia" w:ascii="宋体" w:hAnsi="宋体" w:eastAsia="宋体" w:cs="宋体"/>
          <w:color w:val="auto"/>
          <w:sz w:val="24"/>
          <w:szCs w:val="24"/>
          <w:lang w:eastAsia="zh-CN"/>
        </w:rPr>
        <w:t>深入</w:t>
      </w:r>
      <w:r>
        <w:rPr>
          <w:rFonts w:hint="eastAsia" w:ascii="宋体" w:hAnsi="宋体" w:eastAsia="宋体" w:cs="宋体"/>
          <w:color w:val="auto"/>
          <w:spacing w:val="5"/>
          <w:sz w:val="24"/>
          <w:szCs w:val="24"/>
          <w:lang w:eastAsia="zh-CN"/>
        </w:rPr>
        <w:t>推进创新创业教育改革，构建和完善创新创业活动体系、教育体系、项目体系,结合</w:t>
      </w:r>
      <w:r>
        <w:rPr>
          <w:rFonts w:hint="eastAsia" w:ascii="宋体" w:hAnsi="宋体" w:eastAsia="宋体" w:cs="宋体"/>
          <w:color w:val="auto"/>
          <w:sz w:val="24"/>
          <w:szCs w:val="24"/>
          <w:lang w:eastAsia="zh-CN"/>
        </w:rPr>
        <w:t>专业群特色，从课程标准升级、课程内容重构、教学模式创新、课程资源建设、教学方法创新、课程实施评价、课程内涵迭代、教学团队赋能等多维度创新</w:t>
      </w:r>
      <w:r>
        <w:rPr>
          <w:rFonts w:hint="eastAsia" w:ascii="宋体" w:hAnsi="宋体" w:eastAsia="宋体" w:cs="宋体"/>
          <w:color w:val="auto"/>
          <w:spacing w:val="-2"/>
          <w:sz w:val="24"/>
          <w:szCs w:val="24"/>
          <w:lang w:eastAsia="zh-CN"/>
        </w:rPr>
        <w:t>，真正落实将创新创业教育贯穿人才培养全过程，有效赋能学生的优质就业、优质创业和终身学习能力</w:t>
      </w:r>
      <w:r>
        <w:rPr>
          <w:rFonts w:hint="eastAsia" w:ascii="宋体" w:hAnsi="宋体" w:eastAsia="宋体" w:cs="宋体"/>
          <w:color w:val="auto"/>
          <w:spacing w:val="-3"/>
          <w:sz w:val="24"/>
          <w:szCs w:val="24"/>
          <w:lang w:eastAsia="zh-CN"/>
        </w:rPr>
        <w:t>。</w:t>
      </w:r>
    </w:p>
    <w:p>
      <w:pPr>
        <w:pStyle w:val="2"/>
        <w:snapToGrid/>
        <w:spacing w:line="360" w:lineRule="auto"/>
        <w:ind w:left="-210" w:leftChars="-100" w:right="-210" w:rightChars="-100" w:firstLine="482" w:firstLineChars="200"/>
        <w:contextualSpacing/>
        <w:jc w:val="both"/>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（一）课程定位</w:t>
      </w:r>
    </w:p>
    <w:p>
      <w:pPr>
        <w:pStyle w:val="2"/>
        <w:snapToGrid/>
        <w:spacing w:line="360" w:lineRule="auto"/>
        <w:ind w:left="-210" w:leftChars="-100" w:right="-210" w:rightChars="-100" w:firstLine="480" w:firstLineChars="200"/>
        <w:contextualSpacing/>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课程均应为面向在校学生的</w:t>
      </w:r>
      <w:bookmarkStart w:id="0" w:name="_Hlk143334078"/>
      <w:r>
        <w:rPr>
          <w:rFonts w:hint="eastAsia" w:ascii="宋体" w:hAnsi="宋体" w:eastAsia="宋体" w:cs="宋体"/>
          <w:color w:val="auto"/>
          <w:sz w:val="24"/>
          <w:szCs w:val="24"/>
          <w:lang w:eastAsia="zh-CN"/>
        </w:rPr>
        <w:t>全校通识课程、专业基础课、专业核心课、实践拓展课或</w:t>
      </w:r>
      <w:bookmarkEnd w:id="0"/>
      <w:r>
        <w:rPr>
          <w:rFonts w:hint="eastAsia" w:ascii="宋体" w:hAnsi="宋体" w:eastAsia="宋体" w:cs="宋体"/>
          <w:color w:val="auto"/>
          <w:sz w:val="24"/>
          <w:szCs w:val="24"/>
          <w:lang w:eastAsia="zh-CN"/>
        </w:rPr>
        <w:t>创新创业类课程，课程教学应充分体现创新创业教育与专业教育的深度有机融合。</w:t>
      </w:r>
    </w:p>
    <w:p>
      <w:pPr>
        <w:pStyle w:val="2"/>
        <w:tabs>
          <w:tab w:val="center" w:pos="4802"/>
        </w:tabs>
        <w:snapToGrid/>
        <w:spacing w:line="360" w:lineRule="auto"/>
        <w:ind w:left="-210" w:leftChars="-100" w:right="-210" w:rightChars="-100" w:firstLine="526" w:firstLineChars="200"/>
        <w:contextualSpacing/>
        <w:jc w:val="both"/>
        <w:rPr>
          <w:rFonts w:ascii="宋体" w:hAnsi="宋体" w:eastAsia="宋体" w:cs="宋体"/>
          <w:color w:val="auto"/>
          <w:spacing w:val="11"/>
          <w:sz w:val="24"/>
          <w:szCs w:val="24"/>
          <w:lang w:eastAsia="zh-CN"/>
        </w:rPr>
      </w:pPr>
      <w:r>
        <w:rPr>
          <w:rFonts w:hint="eastAsia" w:ascii="宋体" w:hAnsi="宋体" w:eastAsia="宋体" w:cs="宋体"/>
          <w:b/>
          <w:bCs/>
          <w:color w:val="auto"/>
          <w:spacing w:val="11"/>
          <w:sz w:val="24"/>
          <w:szCs w:val="24"/>
          <w:lang w:eastAsia="zh-CN"/>
        </w:rPr>
        <w:t>（二）教学内容与资源</w:t>
      </w:r>
      <w:r>
        <w:rPr>
          <w:rFonts w:hint="eastAsia" w:ascii="宋体" w:hAnsi="宋体" w:eastAsia="宋体" w:cs="宋体"/>
          <w:b/>
          <w:bCs/>
          <w:color w:val="auto"/>
          <w:spacing w:val="11"/>
          <w:sz w:val="24"/>
          <w:szCs w:val="24"/>
          <w:lang w:eastAsia="zh-CN"/>
        </w:rPr>
        <w:tab/>
      </w:r>
    </w:p>
    <w:p>
      <w:pPr>
        <w:pStyle w:val="2"/>
        <w:snapToGrid/>
        <w:spacing w:line="360" w:lineRule="auto"/>
        <w:ind w:left="-210" w:leftChars="-100" w:right="-210" w:rightChars="-100" w:firstLine="480" w:firstLineChars="200"/>
        <w:contextualSpacing/>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教学内容要以专业教育为主，实现专业教育与创新精神、创业意识和创新创业能力培养有机融合，要求建成专创融合课程“融思政、融双创、融产业、数字化、项目化、国际化”的“一课三融三化”云端教学资源库，通过云平台实现“课程、资源、比赛”有机融合，真正实现专创融合课程课中有赛、赛中有课、产教融合、课赛融合、师生共创、城校共生。</w:t>
      </w:r>
    </w:p>
    <w:p>
      <w:pPr>
        <w:pStyle w:val="2"/>
        <w:snapToGrid/>
        <w:spacing w:line="360" w:lineRule="auto"/>
        <w:ind w:left="-210" w:leftChars="-100" w:right="-210" w:rightChars="-100" w:firstLine="526" w:firstLineChars="200"/>
        <w:contextualSpacing/>
        <w:jc w:val="both"/>
        <w:rPr>
          <w:rFonts w:ascii="宋体" w:hAnsi="宋体" w:eastAsia="宋体" w:cs="宋体"/>
          <w:color w:val="auto"/>
          <w:sz w:val="24"/>
          <w:szCs w:val="24"/>
          <w:lang w:eastAsia="zh-CN"/>
        </w:rPr>
      </w:pPr>
      <w:r>
        <w:rPr>
          <w:rFonts w:hint="eastAsia" w:ascii="宋体" w:hAnsi="宋体" w:eastAsia="宋体" w:cs="宋体"/>
          <w:b/>
          <w:bCs/>
          <w:color w:val="auto"/>
          <w:spacing w:val="11"/>
          <w:sz w:val="24"/>
          <w:szCs w:val="24"/>
          <w:lang w:eastAsia="zh-CN"/>
        </w:rPr>
        <w:t>（三）教学设计与方法</w:t>
      </w:r>
    </w:p>
    <w:p>
      <w:pPr>
        <w:pStyle w:val="2"/>
        <w:snapToGrid/>
        <w:spacing w:line="360" w:lineRule="auto"/>
        <w:ind w:left="-210" w:leftChars="-100" w:right="-210" w:rightChars="-100" w:firstLine="632"/>
        <w:contextualSpacing/>
        <w:jc w:val="both"/>
        <w:rPr>
          <w:rFonts w:ascii="宋体" w:hAnsi="宋体" w:eastAsia="宋体" w:cs="宋体"/>
          <w:color w:val="auto"/>
          <w:spacing w:val="5"/>
          <w:sz w:val="24"/>
          <w:szCs w:val="24"/>
          <w:lang w:eastAsia="zh-CN"/>
        </w:rPr>
      </w:pPr>
      <w:r>
        <w:rPr>
          <w:rFonts w:hint="eastAsia" w:ascii="宋体" w:hAnsi="宋体" w:eastAsia="宋体" w:cs="宋体"/>
          <w:color w:val="auto"/>
          <w:spacing w:val="11"/>
          <w:sz w:val="24"/>
          <w:szCs w:val="24"/>
          <w:lang w:eastAsia="zh-CN"/>
        </w:rPr>
        <w:t>教学设计应灵活运用启发式、探究式、讨论式、项目驱动式、线上线下相结合等混</w:t>
      </w:r>
      <w:r>
        <w:rPr>
          <w:rFonts w:hint="eastAsia" w:ascii="宋体" w:hAnsi="宋体" w:eastAsia="宋体" w:cs="宋体"/>
          <w:color w:val="auto"/>
          <w:spacing w:val="5"/>
          <w:sz w:val="24"/>
          <w:szCs w:val="24"/>
          <w:lang w:eastAsia="zh-CN"/>
        </w:rPr>
        <w:t>合式教学模式，聘请行业内具有丰富从业</w:t>
      </w:r>
      <w:r>
        <w:rPr>
          <w:rFonts w:hint="eastAsia" w:ascii="宋体" w:hAnsi="宋体" w:eastAsia="宋体" w:cs="宋体"/>
          <w:color w:val="auto"/>
          <w:spacing w:val="11"/>
          <w:sz w:val="24"/>
          <w:szCs w:val="24"/>
          <w:lang w:eastAsia="zh-CN"/>
        </w:rPr>
        <w:t>经验的企业人员参与课堂教学活动设计，重点加强课堂互动和能力训练，培养学生在专业领域的创新精神和创业意识，提升学生发现问题、分析问题、解决问题、创造价值的能力。鼓励立项建设的</w:t>
      </w:r>
      <w:r>
        <w:rPr>
          <w:rFonts w:hint="eastAsia" w:ascii="宋体" w:hAnsi="宋体" w:eastAsia="宋体" w:cs="宋体"/>
          <w:color w:val="auto"/>
          <w:spacing w:val="7"/>
          <w:sz w:val="24"/>
          <w:szCs w:val="24"/>
          <w:lang w:eastAsia="zh-CN"/>
        </w:rPr>
        <w:t>课程积极申报国家级一流核心课程、教学资源库、教学创新团队、教学成果奖等成果，要求</w:t>
      </w:r>
      <w:r>
        <w:rPr>
          <w:rFonts w:hint="eastAsia" w:ascii="宋体" w:hAnsi="宋体" w:eastAsia="宋体" w:cs="宋体"/>
          <w:color w:val="auto"/>
          <w:spacing w:val="5"/>
          <w:sz w:val="24"/>
          <w:szCs w:val="24"/>
          <w:lang w:eastAsia="zh-CN"/>
        </w:rPr>
        <w:t>通过云平台提供课堂教学过程中课堂互动和能力训练的实时数据。</w:t>
      </w:r>
    </w:p>
    <w:p>
      <w:pPr>
        <w:pStyle w:val="2"/>
        <w:snapToGrid/>
        <w:spacing w:line="360" w:lineRule="auto"/>
        <w:ind w:left="-210" w:leftChars="-100" w:right="-210" w:rightChars="-100" w:firstLine="632"/>
        <w:contextualSpacing/>
        <w:jc w:val="both"/>
        <w:rPr>
          <w:rFonts w:hint="eastAsia" w:ascii="宋体" w:hAnsi="宋体" w:eastAsia="宋体" w:cs="宋体"/>
          <w:b/>
          <w:bCs/>
          <w:color w:val="auto"/>
          <w:spacing w:val="11"/>
          <w:sz w:val="24"/>
          <w:szCs w:val="24"/>
          <w:lang w:eastAsia="zh-CN"/>
        </w:rPr>
      </w:pPr>
    </w:p>
    <w:p>
      <w:pPr>
        <w:pStyle w:val="2"/>
        <w:snapToGrid/>
        <w:spacing w:line="360" w:lineRule="auto"/>
        <w:ind w:left="-210" w:leftChars="-100" w:right="-210" w:rightChars="-100" w:firstLine="526" w:firstLineChars="200"/>
        <w:contextualSpacing/>
        <w:jc w:val="both"/>
        <w:rPr>
          <w:rFonts w:ascii="宋体" w:hAnsi="宋体" w:eastAsia="宋体" w:cs="宋体"/>
          <w:color w:val="auto"/>
          <w:spacing w:val="11"/>
          <w:sz w:val="24"/>
          <w:szCs w:val="24"/>
          <w:lang w:eastAsia="zh-CN"/>
        </w:rPr>
      </w:pPr>
      <w:r>
        <w:rPr>
          <w:rFonts w:hint="eastAsia" w:ascii="宋体" w:hAnsi="宋体" w:eastAsia="宋体" w:cs="宋体"/>
          <w:b/>
          <w:bCs/>
          <w:color w:val="auto"/>
          <w:spacing w:val="11"/>
          <w:sz w:val="24"/>
          <w:szCs w:val="24"/>
          <w:lang w:eastAsia="zh-CN"/>
        </w:rPr>
        <w:t>（四）教学活动与评价</w:t>
      </w:r>
    </w:p>
    <w:p>
      <w:pPr>
        <w:pStyle w:val="2"/>
        <w:snapToGrid/>
        <w:spacing w:line="360" w:lineRule="auto"/>
        <w:ind w:left="-210" w:leftChars="-100" w:right="-210" w:rightChars="-100" w:firstLine="500" w:firstLineChars="200"/>
        <w:contextualSpacing/>
        <w:jc w:val="both"/>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建立多元化学习评价体系，探索过程性评价、终结性评价、增值性评价相结合的多元化考核评价模式，促进学生自主性学习、过程性学习、体验式学习、团队协作学习；</w:t>
      </w:r>
      <w:r>
        <w:rPr>
          <w:rFonts w:hint="eastAsia" w:ascii="宋体" w:hAnsi="宋体" w:eastAsia="宋体" w:cs="宋体"/>
          <w:color w:val="auto"/>
          <w:spacing w:val="11"/>
          <w:sz w:val="24"/>
          <w:szCs w:val="24"/>
          <w:lang w:eastAsia="zh-CN"/>
        </w:rPr>
        <w:t>鼓励建立非标准答案考核评价体系，包括但不限于制作产品原型、提出创新解决方案、撰写</w:t>
      </w:r>
      <w:r>
        <w:rPr>
          <w:rFonts w:hint="eastAsia" w:ascii="宋体" w:hAnsi="宋体" w:eastAsia="宋体" w:cs="宋体"/>
          <w:color w:val="auto"/>
          <w:spacing w:val="5"/>
          <w:sz w:val="24"/>
          <w:szCs w:val="24"/>
          <w:lang w:eastAsia="zh-CN"/>
        </w:rPr>
        <w:t>商业计划书、参加SDG开放创新马拉松挑战赛等，充分体现创新创业人才培养特色的考核评价体系，要求通过云平台提供课程实施的课程、教师、学生的数据分析。</w:t>
      </w:r>
    </w:p>
    <w:p>
      <w:pPr>
        <w:pStyle w:val="2"/>
        <w:snapToGrid/>
        <w:spacing w:line="360" w:lineRule="auto"/>
        <w:ind w:left="-210" w:leftChars="-100" w:right="-210" w:rightChars="-100" w:firstLine="526" w:firstLineChars="200"/>
        <w:contextualSpacing/>
        <w:jc w:val="both"/>
        <w:rPr>
          <w:rFonts w:ascii="宋体" w:hAnsi="宋体" w:eastAsia="宋体" w:cs="宋体"/>
          <w:color w:val="auto"/>
          <w:spacing w:val="11"/>
          <w:sz w:val="24"/>
          <w:szCs w:val="24"/>
          <w:lang w:eastAsia="zh-CN"/>
        </w:rPr>
      </w:pPr>
      <w:r>
        <w:rPr>
          <w:rFonts w:hint="eastAsia" w:ascii="宋体" w:hAnsi="宋体" w:eastAsia="宋体" w:cs="宋体"/>
          <w:b/>
          <w:bCs/>
          <w:color w:val="auto"/>
          <w:spacing w:val="11"/>
          <w:sz w:val="24"/>
          <w:szCs w:val="24"/>
          <w:lang w:eastAsia="zh-CN"/>
        </w:rPr>
        <w:t>（五） 申报课程与团队要求</w:t>
      </w:r>
    </w:p>
    <w:p>
      <w:pPr>
        <w:pStyle w:val="2"/>
        <w:snapToGrid/>
        <w:spacing w:line="360" w:lineRule="auto"/>
        <w:ind w:left="-210" w:leftChars="-100" w:right="-210" w:rightChars="-100" w:firstLine="524" w:firstLineChars="200"/>
        <w:contextualSpacing/>
        <w:jc w:val="both"/>
        <w:rPr>
          <w:rFonts w:ascii="宋体" w:hAnsi="宋体" w:eastAsia="宋体" w:cs="宋体"/>
          <w:color w:val="auto"/>
          <w:spacing w:val="11"/>
          <w:sz w:val="24"/>
          <w:szCs w:val="24"/>
          <w:lang w:eastAsia="zh-CN"/>
        </w:rPr>
      </w:pPr>
      <w:r>
        <w:rPr>
          <w:rFonts w:hint="eastAsia" w:ascii="宋体" w:hAnsi="宋体" w:eastAsia="宋体" w:cs="宋体"/>
          <w:color w:val="auto"/>
          <w:spacing w:val="11"/>
          <w:sz w:val="24"/>
          <w:szCs w:val="24"/>
          <w:lang w:eastAsia="zh-CN"/>
        </w:rPr>
        <w:t>学校所申报课程必须由课程团队负责人所教授，团队总人数不超过7人（含负责人），鼓励聘请行业内具有培育创新人才实战经验的企业人员参与课程设计、课程建设、课程实施、课程评价、课程迭代等工作。鼓励组建跨区域、跨学校的课程建设团队申报课程建设，要求获批立项建设的课程形成标准后在全国院校和“一带一路”国家院校中广泛进行师资培训、教研活动和推广应用，并持续优化专创融合的课程标准、课程建设、课程资源、课程团队、课程推广。</w:t>
      </w:r>
    </w:p>
    <w:p>
      <w:pPr>
        <w:spacing w:line="360" w:lineRule="auto"/>
        <w:ind w:right="-210" w:rightChars="-100"/>
        <w:contextualSpacing/>
        <w:rPr>
          <w:rFonts w:ascii="宋体" w:hAnsi="宋体" w:eastAsia="宋体" w:cs="宋体"/>
          <w:b/>
          <w:bCs/>
          <w:spacing w:val="11"/>
          <w:sz w:val="24"/>
        </w:rPr>
      </w:pPr>
      <w:r>
        <w:rPr>
          <w:rFonts w:hint="eastAsia" w:ascii="宋体" w:hAnsi="宋体" w:eastAsia="宋体" w:cs="宋体"/>
          <w:b/>
          <w:bCs/>
          <w:spacing w:val="11"/>
          <w:sz w:val="24"/>
        </w:rPr>
        <w:t>二、结项周期与条件</w:t>
      </w:r>
    </w:p>
    <w:p>
      <w:pPr>
        <w:pStyle w:val="2"/>
        <w:snapToGrid/>
        <w:spacing w:line="360" w:lineRule="auto"/>
        <w:ind w:left="-210" w:leftChars="-100" w:right="-210" w:rightChars="-100" w:firstLine="526" w:firstLineChars="200"/>
        <w:contextualSpacing/>
        <w:jc w:val="both"/>
        <w:rPr>
          <w:rFonts w:ascii="宋体" w:hAnsi="宋体" w:eastAsia="宋体" w:cs="宋体"/>
          <w:b/>
          <w:bCs/>
          <w:color w:val="auto"/>
          <w:spacing w:val="11"/>
          <w:sz w:val="24"/>
          <w:szCs w:val="24"/>
          <w:lang w:eastAsia="zh-CN"/>
        </w:rPr>
      </w:pPr>
      <w:r>
        <w:rPr>
          <w:rFonts w:hint="eastAsia" w:ascii="宋体" w:hAnsi="宋体" w:eastAsia="宋体" w:cs="宋体"/>
          <w:b/>
          <w:bCs/>
          <w:color w:val="auto"/>
          <w:spacing w:val="11"/>
          <w:sz w:val="24"/>
          <w:szCs w:val="24"/>
          <w:lang w:eastAsia="zh-CN"/>
        </w:rPr>
        <w:t xml:space="preserve">（一）结项周期 </w:t>
      </w:r>
    </w:p>
    <w:p>
      <w:pPr>
        <w:pStyle w:val="2"/>
        <w:snapToGrid/>
        <w:spacing w:line="360" w:lineRule="auto"/>
        <w:ind w:left="-210" w:leftChars="-100" w:right="-210" w:rightChars="-100" w:firstLine="524" w:firstLineChars="200"/>
        <w:contextualSpacing/>
        <w:jc w:val="both"/>
        <w:rPr>
          <w:rFonts w:ascii="宋体" w:hAnsi="宋体" w:eastAsia="宋体" w:cs="宋体"/>
          <w:color w:val="auto"/>
          <w:spacing w:val="11"/>
          <w:sz w:val="24"/>
          <w:szCs w:val="24"/>
          <w:lang w:eastAsia="zh-CN"/>
        </w:rPr>
      </w:pPr>
      <w:r>
        <w:rPr>
          <w:rFonts w:hint="eastAsia" w:ascii="宋体" w:hAnsi="宋体" w:eastAsia="宋体" w:cs="宋体"/>
          <w:color w:val="auto"/>
          <w:spacing w:val="11"/>
          <w:sz w:val="24"/>
          <w:szCs w:val="24"/>
          <w:lang w:eastAsia="zh-CN"/>
        </w:rPr>
        <w:t>专创融合“金课”与“金师”团队结项周期为4个月，立项建设期满后，首先由各学校自行组织验收评审并给出评审意见，通过学校评审后，由校联会双创教育专委会组织专家对课程进行结项验收，验收通过的专创融合示范“金课”的课程团队直接认定为专创融合“金师”团队，经公示后颁发校联会双创教育专委会“金课”证书和“金师”证书。</w:t>
      </w:r>
    </w:p>
    <w:p>
      <w:pPr>
        <w:pStyle w:val="2"/>
        <w:snapToGrid/>
        <w:spacing w:line="360" w:lineRule="auto"/>
        <w:ind w:left="-210" w:leftChars="-100" w:right="-210" w:rightChars="-100" w:firstLine="619"/>
        <w:contextualSpacing/>
        <w:jc w:val="both"/>
        <w:rPr>
          <w:rFonts w:ascii="宋体" w:hAnsi="宋体" w:eastAsia="宋体" w:cs="宋体"/>
          <w:b/>
          <w:bCs/>
          <w:color w:val="auto"/>
          <w:spacing w:val="11"/>
          <w:sz w:val="24"/>
          <w:szCs w:val="24"/>
          <w:lang w:eastAsia="zh-CN"/>
        </w:rPr>
      </w:pPr>
      <w:r>
        <w:rPr>
          <w:rFonts w:hint="eastAsia" w:ascii="宋体" w:hAnsi="宋体" w:eastAsia="宋体" w:cs="宋体"/>
          <w:b/>
          <w:bCs/>
          <w:color w:val="auto"/>
          <w:spacing w:val="11"/>
          <w:sz w:val="24"/>
          <w:szCs w:val="24"/>
          <w:lang w:eastAsia="zh-CN"/>
        </w:rPr>
        <w:t>（二）结项条件</w:t>
      </w:r>
    </w:p>
    <w:p>
      <w:pPr>
        <w:pStyle w:val="2"/>
        <w:snapToGrid/>
        <w:spacing w:line="360" w:lineRule="auto"/>
        <w:ind w:left="-210" w:leftChars="-100" w:right="-210" w:rightChars="-100" w:firstLine="618"/>
        <w:contextualSpacing/>
        <w:jc w:val="both"/>
        <w:rPr>
          <w:rFonts w:ascii="宋体" w:hAnsi="宋体" w:eastAsia="宋体" w:cs="宋体"/>
          <w:color w:val="auto"/>
          <w:spacing w:val="11"/>
          <w:sz w:val="24"/>
          <w:szCs w:val="24"/>
          <w:lang w:eastAsia="zh-CN"/>
        </w:rPr>
      </w:pPr>
      <w:r>
        <w:rPr>
          <w:rFonts w:hint="eastAsia" w:ascii="宋体" w:hAnsi="宋体" w:eastAsia="宋体" w:cs="宋体"/>
          <w:color w:val="auto"/>
          <w:spacing w:val="11"/>
          <w:sz w:val="24"/>
          <w:szCs w:val="24"/>
          <w:lang w:eastAsia="zh-CN"/>
        </w:rPr>
        <w:t>专创融合“金课”与“金师”团队在项目结项需同时达到以下四项条件：</w:t>
      </w:r>
    </w:p>
    <w:p>
      <w:pPr>
        <w:pStyle w:val="2"/>
        <w:snapToGrid/>
        <w:spacing w:line="360" w:lineRule="auto"/>
        <w:ind w:left="-210" w:leftChars="-100" w:right="-210" w:rightChars="-100" w:firstLine="618"/>
        <w:contextualSpacing/>
        <w:jc w:val="both"/>
        <w:rPr>
          <w:rFonts w:ascii="宋体" w:hAnsi="宋体" w:eastAsia="宋体" w:cs="宋体"/>
          <w:color w:val="auto"/>
          <w:spacing w:val="11"/>
          <w:sz w:val="24"/>
          <w:szCs w:val="24"/>
          <w:lang w:eastAsia="zh-CN"/>
        </w:rPr>
      </w:pPr>
      <w:r>
        <w:rPr>
          <w:rFonts w:hint="eastAsia" w:ascii="宋体" w:hAnsi="宋体" w:eastAsia="宋体" w:cs="宋体"/>
          <w:color w:val="auto"/>
          <w:spacing w:val="11"/>
          <w:sz w:val="24"/>
          <w:szCs w:val="24"/>
          <w:lang w:eastAsia="zh-CN"/>
        </w:rPr>
        <w:t>1、课程实施总结报告中课堂互动效果良好，学生课堂参与度达80%以上；</w:t>
      </w:r>
    </w:p>
    <w:p>
      <w:pPr>
        <w:pStyle w:val="2"/>
        <w:snapToGrid/>
        <w:spacing w:line="360" w:lineRule="auto"/>
        <w:ind w:left="-210" w:leftChars="-100" w:right="-210" w:rightChars="-100" w:firstLine="618"/>
        <w:contextualSpacing/>
        <w:jc w:val="both"/>
        <w:rPr>
          <w:rFonts w:ascii="宋体" w:hAnsi="宋体" w:eastAsia="宋体" w:cs="宋体"/>
          <w:color w:val="auto"/>
          <w:spacing w:val="11"/>
          <w:sz w:val="24"/>
          <w:szCs w:val="24"/>
          <w:lang w:eastAsia="zh-CN"/>
        </w:rPr>
      </w:pPr>
      <w:r>
        <w:rPr>
          <w:rFonts w:hint="eastAsia" w:ascii="宋体" w:hAnsi="宋体" w:eastAsia="宋体" w:cs="宋体"/>
          <w:color w:val="auto"/>
          <w:spacing w:val="11"/>
          <w:sz w:val="24"/>
          <w:szCs w:val="24"/>
          <w:lang w:eastAsia="zh-CN"/>
        </w:rPr>
        <w:t>2、课程实施总结报告中有专创融合能力训练案例和课程实施数据支撑；</w:t>
      </w:r>
    </w:p>
    <w:p>
      <w:pPr>
        <w:pStyle w:val="2"/>
        <w:snapToGrid/>
        <w:spacing w:line="360" w:lineRule="auto"/>
        <w:ind w:left="-210" w:leftChars="-100" w:right="-210" w:rightChars="-100" w:firstLine="618"/>
        <w:contextualSpacing/>
        <w:jc w:val="both"/>
        <w:rPr>
          <w:rFonts w:ascii="宋体" w:hAnsi="宋体" w:eastAsia="宋体" w:cs="宋体"/>
          <w:color w:val="auto"/>
          <w:spacing w:val="11"/>
          <w:sz w:val="24"/>
          <w:szCs w:val="24"/>
          <w:lang w:eastAsia="zh-CN"/>
        </w:rPr>
      </w:pPr>
      <w:r>
        <w:rPr>
          <w:rFonts w:hint="eastAsia" w:ascii="宋体" w:hAnsi="宋体" w:eastAsia="宋体" w:cs="宋体"/>
          <w:color w:val="auto"/>
          <w:spacing w:val="11"/>
          <w:sz w:val="24"/>
          <w:szCs w:val="24"/>
          <w:lang w:eastAsia="zh-CN"/>
        </w:rPr>
        <w:t>3、课程实施总结报告中课赛融合学生参与率达80%并有学生作品展示；</w:t>
      </w:r>
    </w:p>
    <w:p>
      <w:pPr>
        <w:pStyle w:val="2"/>
        <w:snapToGrid/>
        <w:spacing w:line="360" w:lineRule="auto"/>
        <w:ind w:left="-210" w:leftChars="-100" w:right="-210" w:rightChars="-100" w:firstLine="618"/>
        <w:contextualSpacing/>
        <w:jc w:val="both"/>
        <w:rPr>
          <w:rFonts w:ascii="宋体" w:hAnsi="宋体" w:eastAsia="宋体" w:cs="宋体"/>
          <w:color w:val="auto"/>
          <w:spacing w:val="11"/>
          <w:sz w:val="24"/>
          <w:szCs w:val="24"/>
          <w:lang w:eastAsia="zh-CN"/>
        </w:rPr>
      </w:pPr>
      <w:r>
        <w:rPr>
          <w:rFonts w:hint="eastAsia" w:ascii="宋体" w:hAnsi="宋体" w:eastAsia="宋体" w:cs="宋体"/>
          <w:color w:val="auto"/>
          <w:spacing w:val="11"/>
          <w:sz w:val="24"/>
          <w:szCs w:val="24"/>
          <w:lang w:eastAsia="zh-CN"/>
        </w:rPr>
        <w:t>4、课程建设团队结项前形成课程标准，有课程推广计划和课程支持团队。</w:t>
      </w:r>
    </w:p>
    <w:p>
      <w:pPr>
        <w:pStyle w:val="2"/>
        <w:snapToGrid/>
        <w:spacing w:line="360" w:lineRule="auto"/>
        <w:contextualSpacing/>
        <w:rPr>
          <w:rFonts w:ascii="宋体" w:hAnsi="宋体" w:eastAsia="宋体" w:cs="宋体"/>
          <w:color w:val="auto"/>
          <w:spacing w:val="11"/>
          <w:sz w:val="24"/>
          <w:szCs w:val="24"/>
          <w:lang w:eastAsia="zh-CN"/>
        </w:rPr>
      </w:pPr>
      <w:r>
        <w:rPr>
          <w:rFonts w:hint="eastAsia" w:ascii="宋体" w:hAnsi="宋体" w:eastAsia="宋体" w:cs="宋体"/>
          <w:b/>
          <w:bCs/>
          <w:color w:val="auto"/>
          <w:spacing w:val="11"/>
          <w:sz w:val="24"/>
          <w:szCs w:val="24"/>
          <w:lang w:eastAsia="zh-CN"/>
        </w:rPr>
        <w:t>三、申报方式、申报程序和建设支持</w:t>
      </w:r>
    </w:p>
    <w:p>
      <w:pPr>
        <w:pStyle w:val="2"/>
        <w:spacing w:line="360" w:lineRule="auto"/>
        <w:ind w:left="-210" w:leftChars="-100" w:right="-210" w:rightChars="-100" w:firstLine="524" w:firstLineChars="200"/>
        <w:contextualSpacing/>
        <w:rPr>
          <w:rFonts w:ascii="宋体" w:hAnsi="宋体" w:eastAsia="宋体" w:cs="宋体"/>
          <w:color w:val="auto"/>
          <w:spacing w:val="11"/>
          <w:sz w:val="24"/>
          <w:szCs w:val="24"/>
          <w:lang w:eastAsia="zh-CN"/>
        </w:rPr>
      </w:pPr>
      <w:r>
        <w:rPr>
          <w:rFonts w:hint="eastAsia" w:ascii="宋体" w:hAnsi="宋体" w:eastAsia="宋体" w:cs="宋体"/>
          <w:color w:val="auto"/>
          <w:spacing w:val="11"/>
          <w:sz w:val="24"/>
          <w:szCs w:val="24"/>
          <w:lang w:eastAsia="zh-CN"/>
        </w:rPr>
        <w:t>（一）申报方式：申报材料填写必须真实完整，申报书格式见附件二《全国高等职业学校校长联席会议双创教育专委会专创融合金课与专创融合金师立项建设申报书》。各学校组织课程负责人填写申报表并加盖学校公章后发到校联会双创教育专委会指定邮箱</w:t>
      </w:r>
      <w:r>
        <w:rPr>
          <w:rFonts w:hint="eastAsia" w:ascii="宋体" w:hAnsi="宋体" w:eastAsia="宋体" w:cs="宋体"/>
          <w:color w:val="auto"/>
          <w:sz w:val="24"/>
          <w:szCs w:val="24"/>
          <w:lang w:eastAsia="zh-CN"/>
        </w:rPr>
        <w:t>1841958187@qq.com。</w:t>
      </w:r>
    </w:p>
    <w:p>
      <w:pPr>
        <w:pStyle w:val="2"/>
        <w:snapToGrid/>
        <w:spacing w:line="360" w:lineRule="auto"/>
        <w:ind w:left="-210" w:leftChars="-100" w:right="-210" w:rightChars="-100" w:firstLine="524" w:firstLineChars="200"/>
        <w:contextualSpacing/>
        <w:jc w:val="both"/>
        <w:rPr>
          <w:rFonts w:ascii="宋体" w:hAnsi="宋体" w:eastAsia="宋体" w:cs="宋体"/>
          <w:color w:val="auto"/>
          <w:spacing w:val="9"/>
          <w:sz w:val="24"/>
          <w:szCs w:val="24"/>
          <w:lang w:eastAsia="zh-CN"/>
        </w:rPr>
      </w:pPr>
      <w:r>
        <w:rPr>
          <w:rFonts w:hint="eastAsia" w:ascii="宋体" w:hAnsi="宋体" w:eastAsia="宋体" w:cs="宋体"/>
          <w:color w:val="auto"/>
          <w:spacing w:val="11"/>
          <w:sz w:val="24"/>
          <w:szCs w:val="24"/>
          <w:lang w:eastAsia="zh-CN"/>
        </w:rPr>
        <w:t xml:space="preserve">（二）申报程序：每所学校每个批次限额推荐5门课程和5个课程建设团队。申报程序包括学校申报、资格审查、专家评审、批准立项，对获评立项建设的课程团队进行师资培训、课程验收、项目结项、结果公示、证书颁发、推广应用。由学校成立评审小组，对申报课程和课程建设团队的申报工作进行全面核查，认真规范做好课程的意识形态审核、评审推荐等工作，按照5门限额择优推荐。 </w:t>
      </w:r>
    </w:p>
    <w:p>
      <w:pPr>
        <w:pStyle w:val="2"/>
        <w:snapToGrid/>
        <w:spacing w:line="360" w:lineRule="auto"/>
        <w:ind w:left="-210" w:leftChars="-100" w:right="-210" w:rightChars="-100" w:firstLine="524" w:firstLineChars="200"/>
        <w:contextualSpacing/>
        <w:jc w:val="both"/>
        <w:rPr>
          <w:rFonts w:ascii="宋体" w:hAnsi="宋体" w:eastAsia="宋体" w:cs="宋体"/>
          <w:color w:val="auto"/>
          <w:spacing w:val="11"/>
          <w:sz w:val="24"/>
          <w:szCs w:val="24"/>
          <w:lang w:eastAsia="zh-CN"/>
        </w:rPr>
      </w:pPr>
      <w:r>
        <w:rPr>
          <w:rFonts w:hint="eastAsia" w:ascii="宋体" w:hAnsi="宋体" w:eastAsia="宋体" w:cs="宋体"/>
          <w:color w:val="auto"/>
          <w:spacing w:val="11"/>
          <w:sz w:val="24"/>
          <w:szCs w:val="24"/>
          <w:lang w:eastAsia="zh-CN"/>
        </w:rPr>
        <w:t>（三）建设支持：课程建设支持依托校联会双创教育专委会课程共享平台（出彩云），课程团队在课程共享平台上完成专创融合的课程建设、课程实施、数据分析、课程验收等工作，校联会双创教育专委会委托北京人人出彩科技有限公司配备软件工程师、课程设计师、技术服务工程师提供课程共享平台的软件研发和课程建设的支持服务。</w:t>
      </w:r>
    </w:p>
    <w:p>
      <w:pPr>
        <w:pStyle w:val="2"/>
        <w:snapToGrid/>
        <w:spacing w:line="360" w:lineRule="auto"/>
        <w:ind w:left="-210" w:leftChars="-100" w:right="-210" w:rightChars="-100" w:firstLine="524" w:firstLineChars="200"/>
        <w:contextualSpacing/>
        <w:jc w:val="both"/>
        <w:rPr>
          <w:rFonts w:ascii="宋体" w:hAnsi="宋体" w:eastAsia="宋体"/>
          <w:color w:val="auto"/>
          <w:spacing w:val="11"/>
          <w:sz w:val="24"/>
          <w:szCs w:val="24"/>
          <w:lang w:eastAsia="zh-CN"/>
        </w:rPr>
      </w:pPr>
    </w:p>
    <w:p>
      <w:pPr>
        <w:widowControl/>
        <w:spacing w:line="360" w:lineRule="auto"/>
        <w:jc w:val="left"/>
      </w:pP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B0604020202020204"/>
    <w:charset w:val="86"/>
    <w:family w:val="modern"/>
    <w:pitch w:val="default"/>
    <w:sig w:usb0="00000000" w:usb1="00000000" w:usb2="00000010" w:usb3="00000000" w:csb0="00040000" w:csb1="00000000"/>
  </w:font>
  <w:font w:name="仿宋_GB2312">
    <w:altName w:val="仿宋"/>
    <w:panose1 w:val="020B0604020202020204"/>
    <w:charset w:val="86"/>
    <w:family w:val="modern"/>
    <w:pitch w:val="default"/>
    <w:sig w:usb0="00000000" w:usb1="00000000" w:usb2="00000000" w:usb3="00000000" w:csb0="00040000" w:csb1="00000000"/>
  </w:font>
  <w:font w:name="Wingdings 2">
    <w:panose1 w:val="05020102010507070707"/>
    <w:charset w:val="00"/>
    <w:family w:val="decorative"/>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ZDBmNThkMjUzZDc3MWZjNmRhYjFmNTVkMzVmMDcifQ=="/>
  </w:docVars>
  <w:rsids>
    <w:rsidRoot w:val="53932317"/>
    <w:rsid w:val="0A4773FC"/>
    <w:rsid w:val="53932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styleId="3">
    <w:name w:val="footer"/>
    <w:basedOn w:val="1"/>
    <w:qFormat/>
    <w:uiPriority w:val="99"/>
    <w:pPr>
      <w:tabs>
        <w:tab w:val="center" w:pos="4153"/>
        <w:tab w:val="right" w:pos="8306"/>
      </w:tabs>
      <w:snapToGrid w:val="0"/>
      <w:jc w:val="left"/>
    </w:pPr>
    <w:rPr>
      <w:sz w:val="18"/>
    </w:rPr>
  </w:style>
  <w:style w:type="table" w:customStyle="1" w:styleId="6">
    <w:name w:val="TableGrid"/>
    <w:qFormat/>
    <w:uiPriority w:val="0"/>
    <w:rPr>
      <w:rFonts w:ascii="Calibri" w:hAnsi="Calibri"/>
    </w:rPr>
    <w:tblPr>
      <w:tblCellMar>
        <w:top w:w="0" w:type="dxa"/>
        <w:left w:w="0" w:type="dxa"/>
        <w:bottom w:w="0" w:type="dxa"/>
        <w:right w:w="0" w:type="dxa"/>
      </w:tblCellMar>
    </w:tblPr>
  </w:style>
  <w:style w:type="table" w:customStyle="1" w:styleId="7">
    <w:name w:val="网格型1"/>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2023-10-25T02:36:00Z</dcterms:created>
  <dc:creator>校联会秘书处</dc:creator>
  <cp:lastModifiedBy>校联会秘书处</cp:lastModifiedBy>
  <dcterms:modified xsi:type="dcterms:W3CDTF">2023-10-25T02:40:22Z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2DF98D6FAE8E4D3A9D4C89777EA5B939_11</vt:lpwstr>
  </property>
</Properties>
</file>